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F76" w:rsidRPr="00247F76" w:rsidRDefault="00247F76" w:rsidP="00247F76">
      <w:pPr>
        <w:widowControl/>
        <w:shd w:val="clear" w:color="auto" w:fill="FFFFFF"/>
        <w:spacing w:line="338" w:lineRule="atLeast"/>
        <w:jc w:val="center"/>
        <w:rPr>
          <w:rFonts w:ascii="微软雅黑" w:eastAsia="微软雅黑" w:hAnsi="微软雅黑" w:cs="宋体"/>
          <w:color w:val="2F2F2F"/>
          <w:kern w:val="0"/>
          <w:sz w:val="27"/>
          <w:szCs w:val="27"/>
        </w:rPr>
      </w:pPr>
      <w:r w:rsidRPr="00247F76">
        <w:rPr>
          <w:rFonts w:ascii="微软雅黑" w:eastAsia="微软雅黑" w:hAnsi="微软雅黑" w:cs="宋体" w:hint="eastAsia"/>
          <w:b/>
          <w:bCs/>
          <w:color w:val="2F2F2F"/>
          <w:kern w:val="0"/>
          <w:sz w:val="32"/>
          <w:szCs w:val="32"/>
        </w:rPr>
        <w:t>最高人民法院、中国人民银行</w:t>
      </w:r>
      <w:r w:rsidRPr="00247F76">
        <w:rPr>
          <w:rFonts w:ascii="微软雅黑" w:eastAsia="微软雅黑" w:hAnsi="微软雅黑" w:cs="宋体" w:hint="eastAsia"/>
          <w:b/>
          <w:bCs/>
          <w:color w:val="2F2F2F"/>
          <w:kern w:val="0"/>
          <w:sz w:val="32"/>
          <w:szCs w:val="32"/>
        </w:rPr>
        <w:br/>
        <w:t>关于依法规范人民法院执行和金融机构协助执行的通知</w:t>
      </w:r>
    </w:p>
    <w:p w:rsidR="00247F76" w:rsidRDefault="00247F76" w:rsidP="00247F76">
      <w:pPr>
        <w:widowControl/>
        <w:shd w:val="clear" w:color="auto" w:fill="FFFFFF"/>
        <w:spacing w:line="338" w:lineRule="atLeast"/>
        <w:jc w:val="center"/>
        <w:rPr>
          <w:rFonts w:ascii="宋体" w:hAnsi="宋体" w:cs="宋体" w:hint="eastAsia"/>
          <w:smallCaps/>
          <w:color w:val="2F2F2F"/>
          <w:kern w:val="0"/>
          <w:sz w:val="20"/>
          <w:szCs w:val="20"/>
        </w:rPr>
      </w:pPr>
      <w:r w:rsidRPr="00247F76">
        <w:rPr>
          <w:rFonts w:ascii="宋体" w:hAnsi="宋体" w:cs="宋体" w:hint="eastAsia"/>
          <w:smallCaps/>
          <w:color w:val="2F2F2F"/>
          <w:kern w:val="0"/>
          <w:sz w:val="20"/>
          <w:szCs w:val="20"/>
        </w:rPr>
        <w:t>（</w:t>
      </w:r>
      <w:r>
        <w:rPr>
          <w:rFonts w:ascii="宋体" w:hAnsi="宋体" w:cs="宋体" w:hint="eastAsia"/>
          <w:smallCaps/>
          <w:color w:val="2F2F2F"/>
          <w:kern w:val="0"/>
          <w:sz w:val="20"/>
          <w:szCs w:val="20"/>
        </w:rPr>
        <w:t xml:space="preserve"> </w:t>
      </w:r>
      <w:r w:rsidRPr="00247F76">
        <w:rPr>
          <w:rFonts w:ascii="宋体" w:hAnsi="宋体" w:cs="宋体" w:hint="eastAsia"/>
          <w:smallCaps/>
          <w:color w:val="2F2F2F"/>
          <w:kern w:val="0"/>
          <w:sz w:val="20"/>
          <w:szCs w:val="20"/>
        </w:rPr>
        <w:t>法发</w:t>
      </w:r>
      <w:r>
        <w:rPr>
          <w:rFonts w:ascii="宋体" w:hAnsi="宋体" w:cs="宋体" w:hint="eastAsia"/>
          <w:smallCaps/>
          <w:color w:val="2F2F2F"/>
          <w:kern w:val="0"/>
          <w:sz w:val="20"/>
          <w:szCs w:val="20"/>
        </w:rPr>
        <w:t>[</w:t>
      </w:r>
      <w:r w:rsidRPr="00247F76">
        <w:rPr>
          <w:rFonts w:ascii="宋体" w:hAnsi="宋体" w:cs="宋体" w:hint="eastAsia"/>
          <w:smallCaps/>
          <w:color w:val="2F2F2F"/>
          <w:kern w:val="0"/>
          <w:sz w:val="20"/>
          <w:szCs w:val="20"/>
        </w:rPr>
        <w:t>２０００</w:t>
      </w:r>
      <w:r>
        <w:rPr>
          <w:rFonts w:ascii="宋体" w:hAnsi="宋体" w:cs="宋体" w:hint="eastAsia"/>
          <w:smallCaps/>
          <w:color w:val="2F2F2F"/>
          <w:kern w:val="0"/>
          <w:sz w:val="20"/>
          <w:szCs w:val="20"/>
        </w:rPr>
        <w:t>]</w:t>
      </w:r>
      <w:r w:rsidRPr="00247F76">
        <w:rPr>
          <w:rFonts w:ascii="宋体" w:hAnsi="宋体" w:cs="宋体" w:hint="eastAsia"/>
          <w:smallCaps/>
          <w:color w:val="2F2F2F"/>
          <w:kern w:val="0"/>
          <w:sz w:val="20"/>
          <w:szCs w:val="20"/>
        </w:rPr>
        <w:t>２１号</w:t>
      </w:r>
      <w:r>
        <w:rPr>
          <w:rFonts w:ascii="宋体" w:hAnsi="宋体" w:cs="宋体" w:hint="eastAsia"/>
          <w:smallCaps/>
          <w:color w:val="2F2F2F"/>
          <w:kern w:val="0"/>
          <w:sz w:val="20"/>
          <w:szCs w:val="20"/>
        </w:rPr>
        <w:t xml:space="preserve">   </w:t>
      </w:r>
      <w:r w:rsidRPr="00247F76">
        <w:rPr>
          <w:rFonts w:ascii="宋体" w:hAnsi="宋体" w:cs="宋体" w:hint="eastAsia"/>
          <w:smallCaps/>
          <w:color w:val="2F2F2F"/>
          <w:kern w:val="0"/>
          <w:sz w:val="20"/>
          <w:szCs w:val="20"/>
        </w:rPr>
        <w:t>二０００年九月四日</w:t>
      </w:r>
      <w:r>
        <w:rPr>
          <w:rFonts w:ascii="宋体" w:hAnsi="宋体" w:cs="宋体" w:hint="eastAsia"/>
          <w:smallCaps/>
          <w:color w:val="2F2F2F"/>
          <w:kern w:val="0"/>
          <w:sz w:val="20"/>
          <w:szCs w:val="20"/>
        </w:rPr>
        <w:t xml:space="preserve"> </w:t>
      </w:r>
      <w:r w:rsidRPr="00247F76">
        <w:rPr>
          <w:rFonts w:ascii="宋体" w:hAnsi="宋体" w:cs="宋体" w:hint="eastAsia"/>
          <w:smallCaps/>
          <w:color w:val="2F2F2F"/>
          <w:kern w:val="0"/>
          <w:sz w:val="20"/>
          <w:szCs w:val="20"/>
        </w:rPr>
        <w:t>）</w:t>
      </w:r>
    </w:p>
    <w:p w:rsidR="00247F76" w:rsidRPr="00247F76" w:rsidRDefault="00247F76" w:rsidP="00247F76">
      <w:pPr>
        <w:widowControl/>
        <w:shd w:val="clear" w:color="auto" w:fill="FFFFFF"/>
        <w:spacing w:line="300" w:lineRule="exact"/>
        <w:jc w:val="center"/>
        <w:rPr>
          <w:rFonts w:ascii="微软雅黑" w:eastAsia="微软雅黑" w:hAnsi="微软雅黑" w:cs="宋体" w:hint="eastAsia"/>
          <w:color w:val="2F2F2F"/>
          <w:kern w:val="0"/>
          <w:sz w:val="22"/>
          <w:szCs w:val="22"/>
        </w:rPr>
      </w:pPr>
    </w:p>
    <w:p w:rsidR="00247F76" w:rsidRPr="00247F76" w:rsidRDefault="00247F76" w:rsidP="00247F76">
      <w:pPr>
        <w:widowControl/>
        <w:shd w:val="clear" w:color="auto" w:fill="FFFFFF"/>
        <w:spacing w:line="280" w:lineRule="exact"/>
        <w:jc w:val="left"/>
        <w:rPr>
          <w:rFonts w:ascii="微软雅黑" w:eastAsia="微软雅黑" w:hAnsi="微软雅黑" w:cs="宋体" w:hint="eastAsia"/>
          <w:color w:val="2F2F2F"/>
          <w:kern w:val="0"/>
          <w:sz w:val="22"/>
          <w:szCs w:val="22"/>
        </w:rPr>
      </w:pPr>
      <w:r w:rsidRPr="00247F76">
        <w:rPr>
          <w:rFonts w:ascii="微软雅黑" w:eastAsia="微软雅黑" w:hAnsi="微软雅黑" w:cs="宋体" w:hint="eastAsia"/>
          <w:color w:val="2F2F2F"/>
          <w:kern w:val="0"/>
          <w:sz w:val="22"/>
          <w:szCs w:val="22"/>
        </w:rPr>
        <w:t>各省、自治区、直辖市高级人民法院，解放军军事法院，新疆维吾尔自治区高级人民法院生产建设兵团分院，中国人民银行各分行，中国工商银行，中国农业银行，中国银行，中国建设银行及其他金融机构：</w:t>
      </w:r>
      <w:r w:rsidRPr="00247F76">
        <w:rPr>
          <w:rFonts w:ascii="微软雅黑" w:eastAsia="微软雅黑" w:hAnsi="微软雅黑" w:cs="宋体"/>
          <w:color w:val="2F2F2F"/>
          <w:kern w:val="0"/>
          <w:sz w:val="22"/>
          <w:szCs w:val="22"/>
        </w:rPr>
        <w:br/>
      </w:r>
      <w:r w:rsidRPr="00247F76">
        <w:rPr>
          <w:rFonts w:ascii="微软雅黑" w:eastAsia="微软雅黑" w:hAnsi="微软雅黑" w:cs="宋体" w:hint="eastAsia"/>
          <w:color w:val="2F2F2F"/>
          <w:kern w:val="0"/>
          <w:sz w:val="22"/>
          <w:szCs w:val="22"/>
        </w:rPr>
        <w:t xml:space="preserve">　</w:t>
      </w:r>
      <w:r w:rsidRPr="00247F76">
        <w:rPr>
          <w:rFonts w:ascii="微软雅黑" w:eastAsia="微软雅黑" w:hAnsi="微软雅黑"/>
          <w:color w:val="2F2F2F"/>
          <w:kern w:val="0"/>
          <w:sz w:val="22"/>
          <w:szCs w:val="22"/>
        </w:rPr>
        <w:t> </w:t>
      </w:r>
      <w:r w:rsidRPr="00247F76">
        <w:rPr>
          <w:rFonts w:ascii="微软雅黑" w:eastAsia="微软雅黑" w:hAnsi="微软雅黑" w:cs="宋体" w:hint="eastAsia"/>
          <w:color w:val="2F2F2F"/>
          <w:kern w:val="0"/>
          <w:sz w:val="22"/>
          <w:szCs w:val="22"/>
        </w:rPr>
        <w:t>为依法保障当事人的合法权益，维护经济秩序，根据《</w:t>
      </w:r>
      <w:hyperlink r:id="rId7" w:history="1">
        <w:r w:rsidRPr="00247F76">
          <w:rPr>
            <w:rFonts w:ascii="微软雅黑" w:eastAsia="微软雅黑" w:hAnsi="微软雅黑" w:cs="宋体" w:hint="eastAsia"/>
            <w:kern w:val="0"/>
            <w:sz w:val="22"/>
            <w:szCs w:val="22"/>
          </w:rPr>
          <w:t>中华人民共和国民事诉讼法</w:t>
        </w:r>
      </w:hyperlink>
      <w:r w:rsidRPr="00247F76">
        <w:rPr>
          <w:rFonts w:ascii="微软雅黑" w:eastAsia="微软雅黑" w:hAnsi="微软雅黑" w:cs="宋体" w:hint="eastAsia"/>
          <w:color w:val="2F2F2F"/>
          <w:kern w:val="0"/>
          <w:sz w:val="22"/>
          <w:szCs w:val="22"/>
        </w:rPr>
        <w:t>》，现就规范人民法院执行和银行（含其分理处、营业所和储蓄所）以及其他办理存款业务的金融机构（以下统称金融机构）协助执行的有关问题通知如下：</w:t>
      </w:r>
    </w:p>
    <w:p w:rsidR="00247F76" w:rsidRPr="00247F76" w:rsidRDefault="00247F76" w:rsidP="00247F76">
      <w:pPr>
        <w:widowControl/>
        <w:shd w:val="clear" w:color="auto" w:fill="FFFFFF"/>
        <w:spacing w:line="280" w:lineRule="exact"/>
        <w:jc w:val="left"/>
        <w:rPr>
          <w:rFonts w:ascii="微软雅黑" w:eastAsia="微软雅黑" w:hAnsi="微软雅黑" w:cs="宋体" w:hint="eastAsia"/>
          <w:color w:val="2F2F2F"/>
          <w:kern w:val="0"/>
          <w:sz w:val="22"/>
          <w:szCs w:val="22"/>
        </w:rPr>
      </w:pPr>
      <w:bookmarkStart w:id="0" w:name="1"/>
      <w:r w:rsidRPr="00247F76">
        <w:rPr>
          <w:rFonts w:ascii="微软雅黑" w:eastAsia="微软雅黑" w:hAnsi="微软雅黑" w:cs="宋体" w:hint="eastAsia"/>
          <w:b/>
          <w:bCs/>
          <w:smallCaps/>
          <w:color w:val="2F2F2F"/>
          <w:kern w:val="0"/>
          <w:sz w:val="22"/>
          <w:szCs w:val="22"/>
        </w:rPr>
        <w:t xml:space="preserve">　一、</w:t>
      </w:r>
      <w:bookmarkEnd w:id="0"/>
      <w:r w:rsidRPr="00247F76">
        <w:rPr>
          <w:rFonts w:ascii="微软雅黑" w:eastAsia="微软雅黑" w:hAnsi="微软雅黑" w:cs="宋体" w:hint="eastAsia"/>
          <w:color w:val="2F2F2F"/>
          <w:kern w:val="0"/>
          <w:sz w:val="22"/>
          <w:szCs w:val="22"/>
        </w:rPr>
        <w:t>人民法院查询被执行人在金融机构的存款时，执行人员应当出示本人工作证和执行公务证，并出具法院协助查询存款通知书。金融机构应当立即协助办理查询事宜，不需办理签字手续，对于查询的情况，由经办人签字确认。对协助执行手续完备拒不协助查询的，按照</w:t>
      </w:r>
      <w:hyperlink r:id="rId8" w:history="1">
        <w:r w:rsidRPr="00247F76">
          <w:rPr>
            <w:rFonts w:ascii="微软雅黑" w:eastAsia="微软雅黑" w:hAnsi="微软雅黑" w:cs="宋体" w:hint="eastAsia"/>
            <w:kern w:val="0"/>
            <w:sz w:val="22"/>
            <w:szCs w:val="22"/>
          </w:rPr>
          <w:t>民事诉讼法</w:t>
        </w:r>
      </w:hyperlink>
      <w:r w:rsidRPr="00247F76">
        <w:rPr>
          <w:rFonts w:ascii="微软雅黑" w:eastAsia="微软雅黑" w:hAnsi="微软雅黑" w:cs="宋体" w:hint="eastAsia"/>
          <w:color w:val="2F2F2F"/>
          <w:kern w:val="0"/>
          <w:sz w:val="22"/>
          <w:szCs w:val="22"/>
        </w:rPr>
        <w:t>第</w:t>
      </w:r>
      <w:hyperlink r:id="rId9" w:history="1">
        <w:r w:rsidRPr="00247F76">
          <w:rPr>
            <w:rFonts w:ascii="微软雅黑" w:eastAsia="微软雅黑" w:hAnsi="微软雅黑" w:cs="宋体" w:hint="eastAsia"/>
            <w:kern w:val="0"/>
            <w:sz w:val="22"/>
            <w:szCs w:val="22"/>
          </w:rPr>
          <w:t>一百零二</w:t>
        </w:r>
      </w:hyperlink>
      <w:r w:rsidRPr="00247F76">
        <w:rPr>
          <w:rFonts w:ascii="微软雅黑" w:eastAsia="微软雅黑" w:hAnsi="微软雅黑" w:cs="宋体" w:hint="eastAsia"/>
          <w:color w:val="2F2F2F"/>
          <w:kern w:val="0"/>
          <w:sz w:val="22"/>
          <w:szCs w:val="22"/>
        </w:rPr>
        <w:t>条规定处理。</w:t>
      </w:r>
      <w:r w:rsidRPr="00247F76">
        <w:rPr>
          <w:rFonts w:ascii="微软雅黑" w:eastAsia="微软雅黑" w:hAnsi="微软雅黑" w:cs="宋体"/>
          <w:color w:val="2F2F2F"/>
          <w:kern w:val="0"/>
          <w:sz w:val="22"/>
          <w:szCs w:val="22"/>
        </w:rPr>
        <w:br/>
      </w:r>
      <w:r w:rsidRPr="00247F76">
        <w:rPr>
          <w:rFonts w:ascii="微软雅黑" w:eastAsia="微软雅黑" w:hAnsi="微软雅黑" w:cs="宋体" w:hint="eastAsia"/>
          <w:color w:val="2F2F2F"/>
          <w:kern w:val="0"/>
          <w:sz w:val="22"/>
          <w:szCs w:val="22"/>
        </w:rPr>
        <w:t xml:space="preserve">　</w:t>
      </w:r>
      <w:r w:rsidRPr="00247F76">
        <w:rPr>
          <w:rFonts w:ascii="微软雅黑" w:eastAsia="微软雅黑" w:hAnsi="微软雅黑"/>
          <w:color w:val="2F2F2F"/>
          <w:kern w:val="0"/>
          <w:sz w:val="22"/>
          <w:szCs w:val="22"/>
        </w:rPr>
        <w:t> </w:t>
      </w:r>
      <w:r w:rsidRPr="00247F76">
        <w:rPr>
          <w:rFonts w:ascii="微软雅黑" w:eastAsia="微软雅黑" w:hAnsi="微软雅黑" w:cs="宋体" w:hint="eastAsia"/>
          <w:color w:val="2F2F2F"/>
          <w:kern w:val="0"/>
          <w:sz w:val="22"/>
          <w:szCs w:val="22"/>
        </w:rPr>
        <w:t>人民法院对查询到的被执行人在金融机构的存款，需要冻结的，执行人员应当出示本人工作证和执行公务证，并出具法院冻结裁定书和协助冻结存款通知书。金融机构应当立即协助执行。对协助执行手续完备拒不协助冻结的，按照</w:t>
      </w:r>
      <w:hyperlink r:id="rId10" w:history="1">
        <w:r w:rsidRPr="00247F76">
          <w:rPr>
            <w:rFonts w:ascii="微软雅黑" w:eastAsia="微软雅黑" w:hAnsi="微软雅黑" w:cs="宋体" w:hint="eastAsia"/>
            <w:kern w:val="0"/>
            <w:sz w:val="22"/>
            <w:szCs w:val="22"/>
          </w:rPr>
          <w:t>民事诉讼法</w:t>
        </w:r>
      </w:hyperlink>
      <w:r w:rsidRPr="00247F76">
        <w:rPr>
          <w:rFonts w:ascii="微软雅黑" w:eastAsia="微软雅黑" w:hAnsi="微软雅黑" w:cs="宋体" w:hint="eastAsia"/>
          <w:color w:val="2F2F2F"/>
          <w:kern w:val="0"/>
          <w:sz w:val="22"/>
          <w:szCs w:val="22"/>
        </w:rPr>
        <w:t>第</w:t>
      </w:r>
      <w:hyperlink r:id="rId11" w:history="1">
        <w:r w:rsidRPr="00247F76">
          <w:rPr>
            <w:rFonts w:ascii="微软雅黑" w:eastAsia="微软雅黑" w:hAnsi="微软雅黑" w:cs="宋体" w:hint="eastAsia"/>
            <w:kern w:val="0"/>
            <w:sz w:val="22"/>
            <w:szCs w:val="22"/>
          </w:rPr>
          <w:t>一百零二</w:t>
        </w:r>
      </w:hyperlink>
      <w:r w:rsidRPr="00247F76">
        <w:rPr>
          <w:rFonts w:ascii="微软雅黑" w:eastAsia="微软雅黑" w:hAnsi="微软雅黑" w:cs="宋体" w:hint="eastAsia"/>
          <w:color w:val="2F2F2F"/>
          <w:kern w:val="0"/>
          <w:sz w:val="22"/>
          <w:szCs w:val="22"/>
        </w:rPr>
        <w:t>条规定处理。</w:t>
      </w:r>
      <w:r w:rsidRPr="00247F76">
        <w:rPr>
          <w:rFonts w:ascii="微软雅黑" w:eastAsia="微软雅黑" w:hAnsi="微软雅黑" w:cs="宋体"/>
          <w:color w:val="2F2F2F"/>
          <w:kern w:val="0"/>
          <w:sz w:val="22"/>
          <w:szCs w:val="22"/>
        </w:rPr>
        <w:br/>
      </w:r>
      <w:r w:rsidRPr="00247F76">
        <w:rPr>
          <w:rFonts w:ascii="微软雅黑" w:eastAsia="微软雅黑" w:hAnsi="微软雅黑" w:cs="宋体" w:hint="eastAsia"/>
          <w:color w:val="2F2F2F"/>
          <w:kern w:val="0"/>
          <w:sz w:val="22"/>
          <w:szCs w:val="22"/>
        </w:rPr>
        <w:t xml:space="preserve">　</w:t>
      </w:r>
      <w:r w:rsidRPr="00247F76">
        <w:rPr>
          <w:rFonts w:ascii="微软雅黑" w:eastAsia="微软雅黑" w:hAnsi="微软雅黑"/>
          <w:color w:val="2F2F2F"/>
          <w:kern w:val="0"/>
          <w:sz w:val="22"/>
          <w:szCs w:val="22"/>
        </w:rPr>
        <w:t> </w:t>
      </w:r>
      <w:r w:rsidRPr="00247F76">
        <w:rPr>
          <w:rFonts w:ascii="微软雅黑" w:eastAsia="微软雅黑" w:hAnsi="微软雅黑" w:cs="宋体" w:hint="eastAsia"/>
          <w:color w:val="2F2F2F"/>
          <w:kern w:val="0"/>
          <w:sz w:val="22"/>
          <w:szCs w:val="22"/>
        </w:rPr>
        <w:t>人民法院扣划被执行人在金融机构存款的，执行人员应当出示本人工作证和执行公务证，并出具法院扣划裁定书和协助扣划存款通知书，还应当附生效法律文书副本。金融机构应当立即协助执行。对协助执行手续完备拒不协助扣划的，按照</w:t>
      </w:r>
      <w:hyperlink r:id="rId12" w:history="1">
        <w:r w:rsidRPr="00247F76">
          <w:rPr>
            <w:rFonts w:ascii="微软雅黑" w:eastAsia="微软雅黑" w:hAnsi="微软雅黑" w:cs="宋体" w:hint="eastAsia"/>
            <w:kern w:val="0"/>
            <w:sz w:val="22"/>
            <w:szCs w:val="22"/>
          </w:rPr>
          <w:t>民事诉讼法</w:t>
        </w:r>
      </w:hyperlink>
      <w:r w:rsidRPr="00247F76">
        <w:rPr>
          <w:rFonts w:ascii="微软雅黑" w:eastAsia="微软雅黑" w:hAnsi="微软雅黑" w:cs="宋体" w:hint="eastAsia"/>
          <w:color w:val="2F2F2F"/>
          <w:kern w:val="0"/>
          <w:sz w:val="22"/>
          <w:szCs w:val="22"/>
        </w:rPr>
        <w:t>第</w:t>
      </w:r>
      <w:hyperlink r:id="rId13" w:history="1">
        <w:r w:rsidRPr="00247F76">
          <w:rPr>
            <w:rFonts w:ascii="微软雅黑" w:eastAsia="微软雅黑" w:hAnsi="微软雅黑" w:cs="宋体" w:hint="eastAsia"/>
            <w:kern w:val="0"/>
            <w:sz w:val="22"/>
            <w:szCs w:val="22"/>
          </w:rPr>
          <w:t>一百零二</w:t>
        </w:r>
      </w:hyperlink>
      <w:r w:rsidRPr="00247F76">
        <w:rPr>
          <w:rFonts w:ascii="微软雅黑" w:eastAsia="微软雅黑" w:hAnsi="微软雅黑" w:cs="宋体" w:hint="eastAsia"/>
          <w:color w:val="2F2F2F"/>
          <w:kern w:val="0"/>
          <w:sz w:val="22"/>
          <w:szCs w:val="22"/>
        </w:rPr>
        <w:t>条规定处理。</w:t>
      </w:r>
      <w:r w:rsidRPr="00247F76">
        <w:rPr>
          <w:rFonts w:ascii="微软雅黑" w:eastAsia="微软雅黑" w:hAnsi="微软雅黑" w:cs="宋体"/>
          <w:color w:val="2F2F2F"/>
          <w:kern w:val="0"/>
          <w:sz w:val="22"/>
          <w:szCs w:val="22"/>
        </w:rPr>
        <w:br/>
      </w:r>
      <w:r w:rsidRPr="00247F76">
        <w:rPr>
          <w:rFonts w:ascii="微软雅黑" w:eastAsia="微软雅黑" w:hAnsi="微软雅黑" w:cs="宋体" w:hint="eastAsia"/>
          <w:color w:val="2F2F2F"/>
          <w:kern w:val="0"/>
          <w:sz w:val="22"/>
          <w:szCs w:val="22"/>
        </w:rPr>
        <w:t xml:space="preserve">　</w:t>
      </w:r>
      <w:r w:rsidRPr="00247F76">
        <w:rPr>
          <w:rFonts w:ascii="微软雅黑" w:eastAsia="微软雅黑" w:hAnsi="微软雅黑"/>
          <w:color w:val="2F2F2F"/>
          <w:kern w:val="0"/>
          <w:sz w:val="22"/>
          <w:szCs w:val="22"/>
        </w:rPr>
        <w:t> </w:t>
      </w:r>
      <w:r w:rsidRPr="00247F76">
        <w:rPr>
          <w:rFonts w:ascii="微软雅黑" w:eastAsia="微软雅黑" w:hAnsi="微软雅黑" w:cs="宋体" w:hint="eastAsia"/>
          <w:color w:val="2F2F2F"/>
          <w:kern w:val="0"/>
          <w:sz w:val="22"/>
          <w:szCs w:val="22"/>
        </w:rPr>
        <w:t>人民法院查询、冻结、扣划被执行人在金融机构的存款时，可以根据工作情况要求存款人开户的营业场所的上级机构责令该营业场所做好协助执行工作，但不得要求该上级机构协助执行。</w:t>
      </w:r>
    </w:p>
    <w:p w:rsidR="00247F76" w:rsidRPr="00247F76" w:rsidRDefault="00247F76" w:rsidP="00247F76">
      <w:pPr>
        <w:widowControl/>
        <w:shd w:val="clear" w:color="auto" w:fill="FFFFFF"/>
        <w:spacing w:line="280" w:lineRule="exact"/>
        <w:jc w:val="left"/>
        <w:rPr>
          <w:rFonts w:ascii="微软雅黑" w:eastAsia="微软雅黑" w:hAnsi="微软雅黑" w:cs="宋体" w:hint="eastAsia"/>
          <w:color w:val="2F2F2F"/>
          <w:kern w:val="0"/>
          <w:sz w:val="22"/>
          <w:szCs w:val="22"/>
        </w:rPr>
      </w:pPr>
      <w:bookmarkStart w:id="1" w:name="2"/>
      <w:r w:rsidRPr="00247F76">
        <w:rPr>
          <w:rFonts w:ascii="微软雅黑" w:eastAsia="微软雅黑" w:hAnsi="微软雅黑" w:cs="宋体" w:hint="eastAsia"/>
          <w:b/>
          <w:bCs/>
          <w:smallCaps/>
          <w:color w:val="2F2F2F"/>
          <w:kern w:val="0"/>
          <w:sz w:val="22"/>
          <w:szCs w:val="22"/>
        </w:rPr>
        <w:t xml:space="preserve">　二、</w:t>
      </w:r>
      <w:bookmarkEnd w:id="1"/>
      <w:r w:rsidRPr="00247F76">
        <w:rPr>
          <w:rFonts w:ascii="微软雅黑" w:eastAsia="微软雅黑" w:hAnsi="微软雅黑" w:cs="宋体" w:hint="eastAsia"/>
          <w:color w:val="2F2F2F"/>
          <w:kern w:val="0"/>
          <w:sz w:val="22"/>
          <w:szCs w:val="22"/>
        </w:rPr>
        <w:t>人民法院要求金融机构协助冻结、扣划被执行人的存款时，冻结、扣划裁定和协助执行通知书适用留置送达的规定。</w:t>
      </w:r>
    </w:p>
    <w:p w:rsidR="00247F76" w:rsidRPr="00247F76" w:rsidRDefault="00247F76" w:rsidP="00247F76">
      <w:pPr>
        <w:widowControl/>
        <w:shd w:val="clear" w:color="auto" w:fill="FFFFFF"/>
        <w:spacing w:line="280" w:lineRule="exact"/>
        <w:jc w:val="left"/>
        <w:rPr>
          <w:rFonts w:ascii="微软雅黑" w:eastAsia="微软雅黑" w:hAnsi="微软雅黑" w:cs="宋体" w:hint="eastAsia"/>
          <w:color w:val="2F2F2F"/>
          <w:kern w:val="0"/>
          <w:sz w:val="22"/>
          <w:szCs w:val="22"/>
        </w:rPr>
      </w:pPr>
      <w:bookmarkStart w:id="2" w:name="3"/>
      <w:r w:rsidRPr="00247F76">
        <w:rPr>
          <w:rFonts w:ascii="微软雅黑" w:eastAsia="微软雅黑" w:hAnsi="微软雅黑" w:cs="宋体" w:hint="eastAsia"/>
          <w:b/>
          <w:bCs/>
          <w:smallCaps/>
          <w:color w:val="2F2F2F"/>
          <w:kern w:val="0"/>
          <w:sz w:val="22"/>
          <w:szCs w:val="22"/>
        </w:rPr>
        <w:t xml:space="preserve">　三、</w:t>
      </w:r>
      <w:bookmarkEnd w:id="2"/>
      <w:r w:rsidRPr="00247F76">
        <w:rPr>
          <w:rFonts w:ascii="微软雅黑" w:eastAsia="微软雅黑" w:hAnsi="微软雅黑" w:cs="宋体" w:hint="eastAsia"/>
          <w:color w:val="2F2F2F"/>
          <w:kern w:val="0"/>
          <w:sz w:val="22"/>
          <w:szCs w:val="22"/>
        </w:rPr>
        <w:t>对人民法院依法冻结、扣划被执行人在金融机构的存款，金融机构应当立即予以办理，在接到协助执行通知书后，不得再扣划应当协助执行的款项用以收贷收息；不得为被执行人隐匿、转移存款。违反此项规定的，按照</w:t>
      </w:r>
      <w:hyperlink r:id="rId14" w:history="1">
        <w:r w:rsidRPr="00247F76">
          <w:rPr>
            <w:rFonts w:ascii="微软雅黑" w:eastAsia="微软雅黑" w:hAnsi="微软雅黑" w:cs="宋体" w:hint="eastAsia"/>
            <w:kern w:val="0"/>
            <w:sz w:val="22"/>
            <w:szCs w:val="22"/>
          </w:rPr>
          <w:t>民事诉讼法</w:t>
        </w:r>
      </w:hyperlink>
      <w:r w:rsidRPr="00247F76">
        <w:rPr>
          <w:rFonts w:ascii="微软雅黑" w:eastAsia="微软雅黑" w:hAnsi="微软雅黑" w:cs="宋体" w:hint="eastAsia"/>
          <w:color w:val="2F2F2F"/>
          <w:kern w:val="0"/>
          <w:sz w:val="22"/>
          <w:szCs w:val="22"/>
        </w:rPr>
        <w:t>第</w:t>
      </w:r>
      <w:hyperlink r:id="rId15" w:history="1">
        <w:r w:rsidRPr="00247F76">
          <w:rPr>
            <w:rFonts w:ascii="微软雅黑" w:eastAsia="微软雅黑" w:hAnsi="微软雅黑" w:cs="宋体" w:hint="eastAsia"/>
            <w:kern w:val="0"/>
            <w:sz w:val="22"/>
            <w:szCs w:val="22"/>
          </w:rPr>
          <w:t>一百零二</w:t>
        </w:r>
      </w:hyperlink>
      <w:r w:rsidRPr="00247F76">
        <w:rPr>
          <w:rFonts w:ascii="微软雅黑" w:eastAsia="微软雅黑" w:hAnsi="微软雅黑" w:cs="宋体" w:hint="eastAsia"/>
          <w:color w:val="2F2F2F"/>
          <w:kern w:val="0"/>
          <w:sz w:val="22"/>
          <w:szCs w:val="22"/>
        </w:rPr>
        <w:t>条的有关规定处理。</w:t>
      </w:r>
    </w:p>
    <w:p w:rsidR="00247F76" w:rsidRPr="00247F76" w:rsidRDefault="00247F76" w:rsidP="00247F76">
      <w:pPr>
        <w:widowControl/>
        <w:shd w:val="clear" w:color="auto" w:fill="FFFFFF"/>
        <w:spacing w:line="280" w:lineRule="exact"/>
        <w:jc w:val="left"/>
        <w:rPr>
          <w:rFonts w:ascii="微软雅黑" w:eastAsia="微软雅黑" w:hAnsi="微软雅黑" w:cs="宋体" w:hint="eastAsia"/>
          <w:color w:val="2F2F2F"/>
          <w:kern w:val="0"/>
          <w:sz w:val="22"/>
          <w:szCs w:val="22"/>
        </w:rPr>
      </w:pPr>
      <w:bookmarkStart w:id="3" w:name="4"/>
      <w:r w:rsidRPr="00247F76">
        <w:rPr>
          <w:rFonts w:ascii="微软雅黑" w:eastAsia="微软雅黑" w:hAnsi="微软雅黑" w:cs="宋体" w:hint="eastAsia"/>
          <w:b/>
          <w:bCs/>
          <w:smallCaps/>
          <w:color w:val="2F2F2F"/>
          <w:kern w:val="0"/>
          <w:sz w:val="22"/>
          <w:szCs w:val="22"/>
        </w:rPr>
        <w:t xml:space="preserve">　四、</w:t>
      </w:r>
      <w:bookmarkEnd w:id="3"/>
      <w:r w:rsidRPr="00247F76">
        <w:rPr>
          <w:rFonts w:ascii="微软雅黑" w:eastAsia="微软雅黑" w:hAnsi="微软雅黑" w:cs="宋体" w:hint="eastAsia"/>
          <w:color w:val="2F2F2F"/>
          <w:kern w:val="0"/>
          <w:sz w:val="22"/>
          <w:szCs w:val="22"/>
        </w:rPr>
        <w:t>金融机构在接到人民法院的协助执行通知书后，向当事人通风报信，致使当事人转移存款的，法院有权责令该金融机构限期追回，逾期未追回的，按照</w:t>
      </w:r>
      <w:hyperlink r:id="rId16" w:history="1">
        <w:r w:rsidRPr="00247F76">
          <w:rPr>
            <w:rFonts w:ascii="微软雅黑" w:eastAsia="微软雅黑" w:hAnsi="微软雅黑" w:cs="宋体" w:hint="eastAsia"/>
            <w:kern w:val="0"/>
            <w:sz w:val="22"/>
            <w:szCs w:val="22"/>
          </w:rPr>
          <w:t>民事诉讼法</w:t>
        </w:r>
      </w:hyperlink>
      <w:r w:rsidRPr="00247F76">
        <w:rPr>
          <w:rFonts w:ascii="微软雅黑" w:eastAsia="微软雅黑" w:hAnsi="微软雅黑" w:cs="宋体" w:hint="eastAsia"/>
          <w:color w:val="2F2F2F"/>
          <w:kern w:val="0"/>
          <w:sz w:val="22"/>
          <w:szCs w:val="22"/>
        </w:rPr>
        <w:t>第</w:t>
      </w:r>
      <w:hyperlink r:id="rId17" w:history="1">
        <w:r w:rsidRPr="00247F76">
          <w:rPr>
            <w:rFonts w:ascii="微软雅黑" w:eastAsia="微软雅黑" w:hAnsi="微软雅黑" w:cs="宋体" w:hint="eastAsia"/>
            <w:kern w:val="0"/>
            <w:sz w:val="22"/>
            <w:szCs w:val="22"/>
          </w:rPr>
          <w:t>一百零二</w:t>
        </w:r>
      </w:hyperlink>
      <w:r w:rsidRPr="00247F76">
        <w:rPr>
          <w:rFonts w:ascii="微软雅黑" w:eastAsia="微软雅黑" w:hAnsi="微软雅黑" w:cs="宋体" w:hint="eastAsia"/>
          <w:color w:val="2F2F2F"/>
          <w:kern w:val="0"/>
          <w:sz w:val="22"/>
          <w:szCs w:val="22"/>
        </w:rPr>
        <w:t>条的规定予以罚款、拘留；构成犯罪的，依法追究刑事责任，并建议有关部门给予行政处分。</w:t>
      </w:r>
    </w:p>
    <w:p w:rsidR="00247F76" w:rsidRPr="00247F76" w:rsidRDefault="00247F76" w:rsidP="00247F76">
      <w:pPr>
        <w:widowControl/>
        <w:shd w:val="clear" w:color="auto" w:fill="FFFFFF"/>
        <w:spacing w:line="280" w:lineRule="exact"/>
        <w:jc w:val="left"/>
        <w:rPr>
          <w:rFonts w:ascii="微软雅黑" w:eastAsia="微软雅黑" w:hAnsi="微软雅黑" w:cs="宋体" w:hint="eastAsia"/>
          <w:color w:val="2F2F2F"/>
          <w:kern w:val="0"/>
          <w:sz w:val="22"/>
          <w:szCs w:val="22"/>
        </w:rPr>
      </w:pPr>
      <w:bookmarkStart w:id="4" w:name="5"/>
      <w:r w:rsidRPr="00247F76">
        <w:rPr>
          <w:rFonts w:ascii="微软雅黑" w:eastAsia="微软雅黑" w:hAnsi="微软雅黑" w:cs="宋体" w:hint="eastAsia"/>
          <w:b/>
          <w:bCs/>
          <w:smallCaps/>
          <w:color w:val="2F2F2F"/>
          <w:kern w:val="0"/>
          <w:sz w:val="22"/>
          <w:szCs w:val="22"/>
        </w:rPr>
        <w:t xml:space="preserve">　五、</w:t>
      </w:r>
      <w:bookmarkEnd w:id="4"/>
      <w:r w:rsidRPr="00247F76">
        <w:rPr>
          <w:rFonts w:ascii="微软雅黑" w:eastAsia="微软雅黑" w:hAnsi="微软雅黑" w:cs="宋体" w:hint="eastAsia"/>
          <w:color w:val="2F2F2F"/>
          <w:kern w:val="0"/>
          <w:sz w:val="22"/>
          <w:szCs w:val="22"/>
        </w:rPr>
        <w:t>对人民法院依法向金融机构查询或查阅的有关资料，包括被执行人开户、存款情况以及会计凭证、账簿、有关对账单等资料（含电脑储存资料），金融机构应当及时如实提供并加盖印章；人民法院根据需要可抄录、复制、照相，但应当依法保守秘密。</w:t>
      </w:r>
    </w:p>
    <w:p w:rsidR="00247F76" w:rsidRPr="00247F76" w:rsidRDefault="00247F76" w:rsidP="00247F76">
      <w:pPr>
        <w:widowControl/>
        <w:shd w:val="clear" w:color="auto" w:fill="FFFFFF"/>
        <w:spacing w:line="280" w:lineRule="exact"/>
        <w:jc w:val="left"/>
        <w:rPr>
          <w:rFonts w:ascii="微软雅黑" w:eastAsia="微软雅黑" w:hAnsi="微软雅黑" w:cs="宋体" w:hint="eastAsia"/>
          <w:color w:val="2F2F2F"/>
          <w:kern w:val="0"/>
          <w:sz w:val="22"/>
          <w:szCs w:val="22"/>
        </w:rPr>
      </w:pPr>
      <w:bookmarkStart w:id="5" w:name="6"/>
      <w:r w:rsidRPr="00247F76">
        <w:rPr>
          <w:rFonts w:ascii="微软雅黑" w:eastAsia="微软雅黑" w:hAnsi="微软雅黑" w:cs="宋体" w:hint="eastAsia"/>
          <w:b/>
          <w:bCs/>
          <w:smallCaps/>
          <w:color w:val="2F2F2F"/>
          <w:kern w:val="0"/>
          <w:sz w:val="22"/>
          <w:szCs w:val="22"/>
        </w:rPr>
        <w:t xml:space="preserve">　六、</w:t>
      </w:r>
      <w:bookmarkEnd w:id="5"/>
      <w:r w:rsidRPr="00247F76">
        <w:rPr>
          <w:rFonts w:ascii="微软雅黑" w:eastAsia="微软雅黑" w:hAnsi="微软雅黑" w:cs="宋体" w:hint="eastAsia"/>
          <w:color w:val="2F2F2F"/>
          <w:kern w:val="0"/>
          <w:sz w:val="22"/>
          <w:szCs w:val="22"/>
        </w:rPr>
        <w:t>金融机构作为被执行人，执行法院到有关人民银行查询其在人民银行开户、存款情况的，有关人民银行应当协助查询。</w:t>
      </w:r>
    </w:p>
    <w:p w:rsidR="00247F76" w:rsidRPr="00247F76" w:rsidRDefault="00247F76" w:rsidP="00247F76">
      <w:pPr>
        <w:widowControl/>
        <w:shd w:val="clear" w:color="auto" w:fill="FFFFFF"/>
        <w:spacing w:line="280" w:lineRule="exact"/>
        <w:jc w:val="left"/>
        <w:rPr>
          <w:rFonts w:ascii="微软雅黑" w:eastAsia="微软雅黑" w:hAnsi="微软雅黑" w:cs="宋体" w:hint="eastAsia"/>
          <w:color w:val="2F2F2F"/>
          <w:kern w:val="0"/>
          <w:sz w:val="22"/>
          <w:szCs w:val="22"/>
        </w:rPr>
      </w:pPr>
      <w:bookmarkStart w:id="6" w:name="7"/>
      <w:r w:rsidRPr="00247F76">
        <w:rPr>
          <w:rFonts w:ascii="微软雅黑" w:eastAsia="微软雅黑" w:hAnsi="微软雅黑" w:cs="宋体" w:hint="eastAsia"/>
          <w:b/>
          <w:bCs/>
          <w:smallCaps/>
          <w:color w:val="2F2F2F"/>
          <w:kern w:val="0"/>
          <w:sz w:val="22"/>
          <w:szCs w:val="22"/>
        </w:rPr>
        <w:t xml:space="preserve">　七、</w:t>
      </w:r>
      <w:bookmarkEnd w:id="6"/>
      <w:r w:rsidRPr="00247F76">
        <w:rPr>
          <w:rFonts w:ascii="微软雅黑" w:eastAsia="微软雅黑" w:hAnsi="微软雅黑" w:cs="宋体" w:hint="eastAsia"/>
          <w:color w:val="2F2F2F"/>
          <w:kern w:val="0"/>
          <w:sz w:val="22"/>
          <w:szCs w:val="22"/>
        </w:rPr>
        <w:t>人民法院在查询被执行人存款情况时，只提供单位账户名称而未提供账号的，开户银行应当根据银发（１９９７）９４号《关于贯彻落实中共中央政法委〈关于司法机关冻结、扣划银行存款问题的意见〉的通知》第二条的规定，积极协助查询并书面告知。</w:t>
      </w:r>
    </w:p>
    <w:p w:rsidR="00247F76" w:rsidRPr="00247F76" w:rsidRDefault="00247F76" w:rsidP="00247F76">
      <w:pPr>
        <w:widowControl/>
        <w:shd w:val="clear" w:color="auto" w:fill="FFFFFF"/>
        <w:spacing w:line="280" w:lineRule="exact"/>
        <w:jc w:val="left"/>
        <w:rPr>
          <w:rFonts w:ascii="微软雅黑" w:eastAsia="微软雅黑" w:hAnsi="微软雅黑" w:cs="宋体" w:hint="eastAsia"/>
          <w:color w:val="2F2F2F"/>
          <w:kern w:val="0"/>
          <w:sz w:val="22"/>
          <w:szCs w:val="22"/>
        </w:rPr>
      </w:pPr>
      <w:bookmarkStart w:id="7" w:name="8"/>
      <w:r w:rsidRPr="00247F76">
        <w:rPr>
          <w:rFonts w:ascii="微软雅黑" w:eastAsia="微软雅黑" w:hAnsi="微软雅黑" w:cs="宋体" w:hint="eastAsia"/>
          <w:b/>
          <w:bCs/>
          <w:smallCaps/>
          <w:color w:val="2F2F2F"/>
          <w:kern w:val="0"/>
          <w:sz w:val="22"/>
          <w:szCs w:val="22"/>
        </w:rPr>
        <w:t xml:space="preserve">　八、</w:t>
      </w:r>
      <w:bookmarkEnd w:id="7"/>
      <w:r w:rsidRPr="00247F76">
        <w:rPr>
          <w:rFonts w:ascii="微软雅黑" w:eastAsia="微软雅黑" w:hAnsi="微软雅黑" w:cs="宋体" w:hint="eastAsia"/>
          <w:color w:val="2F2F2F"/>
          <w:kern w:val="0"/>
          <w:sz w:val="22"/>
          <w:szCs w:val="22"/>
        </w:rPr>
        <w:t>金融机构的分支机构作为被执行人的，执行法院应当向其发出限期履行通知书，期限为十五日；逾期未自动履行的，依法予以强制执行；对被执行人未能提供可供执行财产的，应当依法裁定逐级变更其上级机构为被执行人，直至其总行、总公司。每次变更前，均应当给予被变更主体十五日的自动履行期限；逾期未自动履行的，依法予以强制执行。</w:t>
      </w:r>
    </w:p>
    <w:p w:rsidR="00247F76" w:rsidRPr="00247F76" w:rsidRDefault="00247F76" w:rsidP="00247F76">
      <w:pPr>
        <w:widowControl/>
        <w:shd w:val="clear" w:color="auto" w:fill="FFFFFF"/>
        <w:spacing w:line="280" w:lineRule="exact"/>
        <w:jc w:val="left"/>
        <w:rPr>
          <w:rFonts w:ascii="微软雅黑" w:eastAsia="微软雅黑" w:hAnsi="微软雅黑" w:cs="宋体" w:hint="eastAsia"/>
          <w:color w:val="2F2F2F"/>
          <w:kern w:val="0"/>
          <w:sz w:val="22"/>
          <w:szCs w:val="22"/>
        </w:rPr>
      </w:pPr>
      <w:bookmarkStart w:id="8" w:name="9"/>
      <w:r w:rsidRPr="00247F76">
        <w:rPr>
          <w:rFonts w:ascii="微软雅黑" w:eastAsia="微软雅黑" w:hAnsi="微软雅黑" w:cs="宋体" w:hint="eastAsia"/>
          <w:b/>
          <w:bCs/>
          <w:smallCaps/>
          <w:color w:val="2F2F2F"/>
          <w:kern w:val="0"/>
          <w:sz w:val="22"/>
          <w:szCs w:val="22"/>
        </w:rPr>
        <w:t xml:space="preserve">　九、</w:t>
      </w:r>
      <w:bookmarkEnd w:id="8"/>
      <w:r w:rsidRPr="00247F76">
        <w:rPr>
          <w:rFonts w:ascii="微软雅黑" w:eastAsia="微软雅黑" w:hAnsi="微软雅黑" w:cs="宋体" w:hint="eastAsia"/>
          <w:color w:val="2F2F2F"/>
          <w:kern w:val="0"/>
          <w:sz w:val="22"/>
          <w:szCs w:val="22"/>
        </w:rPr>
        <w:t>人民法院依法可以对银行承兑汇票保证金采取冻结措施，但不得扣划。如果金融机构已对汇票承兑或者已对外付款，根据金融机构的申请，人民法院应当解除对银行承兑汇票保证金相应部分的冻结措施。银行承兑汇票保证金已丧失保证金功能时，人民法院可以依法采取扣划措施。</w:t>
      </w:r>
    </w:p>
    <w:p w:rsidR="00247F76" w:rsidRPr="00247F76" w:rsidRDefault="00247F76" w:rsidP="00247F76">
      <w:pPr>
        <w:widowControl/>
        <w:shd w:val="clear" w:color="auto" w:fill="FFFFFF"/>
        <w:spacing w:line="280" w:lineRule="exact"/>
        <w:jc w:val="left"/>
        <w:rPr>
          <w:rFonts w:ascii="微软雅黑" w:eastAsia="微软雅黑" w:hAnsi="微软雅黑" w:cs="宋体" w:hint="eastAsia"/>
          <w:color w:val="2F2F2F"/>
          <w:kern w:val="0"/>
          <w:sz w:val="22"/>
          <w:szCs w:val="22"/>
        </w:rPr>
      </w:pPr>
      <w:bookmarkStart w:id="9" w:name="10"/>
      <w:r w:rsidRPr="00247F76">
        <w:rPr>
          <w:rFonts w:ascii="微软雅黑" w:eastAsia="微软雅黑" w:hAnsi="微软雅黑" w:cs="宋体" w:hint="eastAsia"/>
          <w:b/>
          <w:bCs/>
          <w:smallCaps/>
          <w:color w:val="2F2F2F"/>
          <w:kern w:val="0"/>
          <w:sz w:val="22"/>
          <w:szCs w:val="22"/>
        </w:rPr>
        <w:t xml:space="preserve">　十、</w:t>
      </w:r>
      <w:bookmarkEnd w:id="9"/>
      <w:r w:rsidRPr="00247F76">
        <w:rPr>
          <w:rFonts w:ascii="微软雅黑" w:eastAsia="微软雅黑" w:hAnsi="微软雅黑" w:cs="宋体" w:hint="eastAsia"/>
          <w:color w:val="2F2F2F"/>
          <w:kern w:val="0"/>
          <w:sz w:val="22"/>
          <w:szCs w:val="22"/>
        </w:rPr>
        <w:t>有关人民法院在执行由两个人民法院或者人民法院与仲裁、公证等有关机构就同一法律关系作出的两份或者多份生效法律文书的过程中，需要金融机构协助执行的，金融机构应当协助最先送达协助执行通知书的法院，予以查询、冻结，但不得扣划。有关人民法院应当就该两份或多份生效法律文书上报共同上级法院协调解决，金融机构应当按照共同上级法院的最终协调意见办理。</w:t>
      </w:r>
    </w:p>
    <w:p w:rsidR="003B2256" w:rsidRPr="00247F76" w:rsidRDefault="00247F76" w:rsidP="00247F76">
      <w:pPr>
        <w:widowControl/>
        <w:shd w:val="clear" w:color="auto" w:fill="FFFFFF"/>
        <w:spacing w:line="280" w:lineRule="exact"/>
        <w:jc w:val="left"/>
        <w:rPr>
          <w:rFonts w:ascii="微软雅黑" w:eastAsia="微软雅黑" w:hAnsi="微软雅黑" w:cs="宋体"/>
          <w:color w:val="2F2F2F"/>
          <w:kern w:val="0"/>
          <w:sz w:val="22"/>
          <w:szCs w:val="22"/>
        </w:rPr>
      </w:pPr>
      <w:bookmarkStart w:id="10" w:name="11"/>
      <w:r w:rsidRPr="00247F76">
        <w:rPr>
          <w:rFonts w:ascii="微软雅黑" w:eastAsia="微软雅黑" w:hAnsi="微软雅黑" w:cs="宋体" w:hint="eastAsia"/>
          <w:b/>
          <w:bCs/>
          <w:smallCaps/>
          <w:color w:val="2F2F2F"/>
          <w:kern w:val="0"/>
          <w:sz w:val="22"/>
          <w:szCs w:val="22"/>
        </w:rPr>
        <w:t xml:space="preserve">　十一、</w:t>
      </w:r>
      <w:bookmarkEnd w:id="10"/>
      <w:r w:rsidRPr="00247F76">
        <w:rPr>
          <w:rFonts w:ascii="微软雅黑" w:eastAsia="微软雅黑" w:hAnsi="微软雅黑" w:cs="宋体" w:hint="eastAsia"/>
          <w:color w:val="2F2F2F"/>
          <w:kern w:val="0"/>
          <w:sz w:val="22"/>
          <w:szCs w:val="22"/>
        </w:rPr>
        <w:t>财产保全和先予执行依照上述规定办理。</w:t>
      </w:r>
      <w:r w:rsidRPr="00247F76">
        <w:rPr>
          <w:rFonts w:ascii="微软雅黑" w:eastAsia="微软雅黑" w:hAnsi="微软雅黑" w:cs="宋体"/>
          <w:color w:val="2F2F2F"/>
          <w:kern w:val="0"/>
          <w:sz w:val="22"/>
          <w:szCs w:val="22"/>
        </w:rPr>
        <w:br/>
      </w:r>
      <w:r w:rsidRPr="00247F76">
        <w:rPr>
          <w:rFonts w:ascii="微软雅黑" w:eastAsia="微软雅黑" w:hAnsi="微软雅黑" w:cs="宋体" w:hint="eastAsia"/>
          <w:color w:val="2F2F2F"/>
          <w:kern w:val="0"/>
          <w:sz w:val="22"/>
          <w:szCs w:val="22"/>
        </w:rPr>
        <w:t xml:space="preserve">　此前的规定与本通知有抵触的，以本通知为准。</w:t>
      </w:r>
    </w:p>
    <w:sectPr w:rsidR="003B2256" w:rsidRPr="00247F76" w:rsidSect="00143413">
      <w:footerReference w:type="even" r:id="rId18"/>
      <w:footerReference w:type="default" r:id="rId19"/>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5BA" w:rsidRDefault="000E45BA" w:rsidP="003B2256">
      <w:r>
        <w:separator/>
      </w:r>
    </w:p>
  </w:endnote>
  <w:endnote w:type="continuationSeparator" w:id="0">
    <w:p w:rsidR="000E45BA" w:rsidRDefault="000E45BA"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F44BF6">
    <w:pPr>
      <w:tabs>
        <w:tab w:val="center" w:pos="4153"/>
        <w:tab w:val="right" w:pos="8306"/>
      </w:tabs>
      <w:rPr>
        <w:rFonts w:ascii="宋体" w:hAnsi="宋体" w:cs="宋体"/>
        <w:sz w:val="28"/>
        <w:szCs w:val="28"/>
      </w:rPr>
    </w:pPr>
    <w:r w:rsidRPr="00F44BF6">
      <w:rPr>
        <w:sz w:val="28"/>
      </w:rPr>
      <w:pict>
        <v:shapetype id="_x0000_t202" coordsize="21600,21600" o:spt="202" path="m,l,21600r21600,l21600,xe">
          <v:stroke joinstyle="miter"/>
          <v:path gradientshapeok="t" o:connecttype="rect"/>
        </v:shapetype>
        <v:shape id="_x0000_s3073" type="#_x0000_t202" style="position:absolute;left:0;text-align:left;margin-left:832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F44BF6">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F44BF6">
                  <w:rPr>
                    <w:rFonts w:ascii="宋体" w:hAnsi="宋体" w:cs="宋体" w:hint="eastAsia"/>
                    <w:sz w:val="28"/>
                    <w:szCs w:val="28"/>
                  </w:rPr>
                  <w:fldChar w:fldCharType="separate"/>
                </w:r>
                <w:r w:rsidR="00143413">
                  <w:rPr>
                    <w:rFonts w:ascii="宋体" w:hAnsi="宋体" w:cs="宋体"/>
                    <w:noProof/>
                    <w:sz w:val="28"/>
                    <w:szCs w:val="28"/>
                  </w:rPr>
                  <w:t>2</w:t>
                </w:r>
                <w:r w:rsidR="00F44BF6">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F44BF6">
    <w:pPr>
      <w:tabs>
        <w:tab w:val="center" w:pos="4153"/>
        <w:tab w:val="right" w:pos="8306"/>
      </w:tabs>
      <w:rPr>
        <w:rFonts w:ascii="宋体" w:hAnsi="宋体" w:cs="宋体"/>
        <w:sz w:val="28"/>
        <w:szCs w:val="28"/>
      </w:rPr>
    </w:pPr>
    <w:r w:rsidRPr="00F44BF6">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F44BF6">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F44BF6">
                  <w:rPr>
                    <w:rFonts w:ascii="宋体" w:hAnsi="宋体" w:cs="宋体" w:hint="eastAsia"/>
                    <w:sz w:val="28"/>
                    <w:szCs w:val="28"/>
                  </w:rPr>
                  <w:fldChar w:fldCharType="separate"/>
                </w:r>
                <w:r w:rsidR="00247F76">
                  <w:rPr>
                    <w:rFonts w:ascii="宋体" w:hAnsi="宋体" w:cs="宋体"/>
                    <w:noProof/>
                    <w:sz w:val="28"/>
                    <w:szCs w:val="28"/>
                  </w:rPr>
                  <w:t>1</w:t>
                </w:r>
                <w:r w:rsidR="00F44BF6">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5BA" w:rsidRDefault="000E45BA" w:rsidP="003B2256">
      <w:r>
        <w:separator/>
      </w:r>
    </w:p>
  </w:footnote>
  <w:footnote w:type="continuationSeparator" w:id="0">
    <w:p w:rsidR="000E45BA" w:rsidRDefault="000E45BA"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0E45BA"/>
    <w:rsid w:val="00143413"/>
    <w:rsid w:val="00247F76"/>
    <w:rsid w:val="00290080"/>
    <w:rsid w:val="00323D76"/>
    <w:rsid w:val="003B2256"/>
    <w:rsid w:val="004064E8"/>
    <w:rsid w:val="00554EB8"/>
    <w:rsid w:val="0064282F"/>
    <w:rsid w:val="00690873"/>
    <w:rsid w:val="007630C3"/>
    <w:rsid w:val="00793835"/>
    <w:rsid w:val="007B0DAB"/>
    <w:rsid w:val="00803A63"/>
    <w:rsid w:val="00872005"/>
    <w:rsid w:val="00984D89"/>
    <w:rsid w:val="009969A5"/>
    <w:rsid w:val="009E1211"/>
    <w:rsid w:val="00CF39F7"/>
    <w:rsid w:val="00D619CC"/>
    <w:rsid w:val="00D771C4"/>
    <w:rsid w:val="00DD58FE"/>
    <w:rsid w:val="00F20EB7"/>
    <w:rsid w:val="00F44BF6"/>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 w:type="character" w:styleId="afa">
    <w:name w:val="Hyperlink"/>
    <w:basedOn w:val="a0"/>
    <w:uiPriority w:val="99"/>
    <w:unhideWhenUsed/>
    <w:rsid w:val="00247F76"/>
    <w:rPr>
      <w:color w:val="0000FF"/>
      <w:u w:val="single"/>
    </w:rPr>
  </w:style>
</w:styles>
</file>

<file path=word/webSettings.xml><?xml version="1.0" encoding="utf-8"?>
<w:webSettings xmlns:r="http://schemas.openxmlformats.org/officeDocument/2006/relationships" xmlns:w="http://schemas.openxmlformats.org/wordprocessingml/2006/main">
  <w:divs>
    <w:div w:id="1063060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javascript:ROF(12609,0)" TargetMode="External"/><Relationship Id="rId13" Type="http://schemas.openxmlformats.org/officeDocument/2006/relationships/hyperlink" Target="javascript:ROF(12609,102)"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javascript:ROF(12609,0)" TargetMode="External"/><Relationship Id="rId12" Type="http://schemas.openxmlformats.org/officeDocument/2006/relationships/hyperlink" Target="javascript:ROF(12609,0)" TargetMode="External"/><Relationship Id="rId17" Type="http://schemas.openxmlformats.org/officeDocument/2006/relationships/hyperlink" Target="javascript:ROF(12609,102)" TargetMode="External"/><Relationship Id="rId2" Type="http://schemas.openxmlformats.org/officeDocument/2006/relationships/styles" Target="styles.xml"/><Relationship Id="rId16" Type="http://schemas.openxmlformats.org/officeDocument/2006/relationships/hyperlink" Target="javascript:ROF(12609,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ROF(12609,102)" TargetMode="External"/><Relationship Id="rId5" Type="http://schemas.openxmlformats.org/officeDocument/2006/relationships/footnotes" Target="footnotes.xml"/><Relationship Id="rId15" Type="http://schemas.openxmlformats.org/officeDocument/2006/relationships/hyperlink" Target="javascript:ROF(12609,102)" TargetMode="External"/><Relationship Id="rId10" Type="http://schemas.openxmlformats.org/officeDocument/2006/relationships/hyperlink" Target="javascript:ROF(12609,0)"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javascript:ROF(12609,102)" TargetMode="External"/><Relationship Id="rId14" Type="http://schemas.openxmlformats.org/officeDocument/2006/relationships/hyperlink" Target="javascript:ROF(1260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37</TotalTime>
  <Pages>1</Pages>
  <Words>338</Words>
  <Characters>1928</Characters>
  <Application>Microsoft Office Word</Application>
  <DocSecurity>0</DocSecurity>
  <Lines>16</Lines>
  <Paragraphs>4</Paragraphs>
  <ScaleCrop>false</ScaleCrop>
  <Company>Newdaxie</Company>
  <LinksUpToDate>false</LinksUpToDate>
  <CharactersWithSpaces>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13</cp:revision>
  <dcterms:created xsi:type="dcterms:W3CDTF">2017-11-02T15:25:00Z</dcterms:created>
  <dcterms:modified xsi:type="dcterms:W3CDTF">2024-12-21T03:42:00Z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